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12030C" w:rsidRPr="0012030C" w:rsidTr="0012030C">
        <w:trPr>
          <w:tblCellSpacing w:w="0" w:type="dxa"/>
        </w:trPr>
        <w:tc>
          <w:tcPr>
            <w:tcW w:w="0" w:type="auto"/>
            <w:vAlign w:val="center"/>
            <w:hideMark/>
          </w:tcPr>
          <w:p w:rsidR="0012030C" w:rsidRPr="0012030C" w:rsidRDefault="0012030C" w:rsidP="001203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</w:rPr>
              <w:t>CONVENÇÃO COLETIVA DE TRABALHO 2014/2015</w:t>
            </w:r>
          </w:p>
        </w:tc>
      </w:tr>
      <w:tr w:rsidR="0012030C" w:rsidRPr="0012030C" w:rsidTr="0012030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84"/>
              <w:gridCol w:w="150"/>
              <w:gridCol w:w="2173"/>
            </w:tblGrid>
            <w:tr w:rsidR="0012030C" w:rsidRPr="001203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030C" w:rsidRPr="0012030C" w:rsidRDefault="0012030C" w:rsidP="00120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30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NÚMERO DE REGISTRO NO MTE: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12030C" w:rsidRPr="0012030C" w:rsidRDefault="0012030C" w:rsidP="00120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30C" w:rsidRPr="0012030C" w:rsidRDefault="0012030C" w:rsidP="00120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30C">
                    <w:rPr>
                      <w:rFonts w:ascii="Arial" w:eastAsia="Times New Roman" w:hAnsi="Arial" w:cs="Arial"/>
                      <w:sz w:val="21"/>
                      <w:szCs w:val="21"/>
                    </w:rPr>
                    <w:t>SC002627/2014</w:t>
                  </w:r>
                </w:p>
              </w:tc>
            </w:tr>
            <w:tr w:rsidR="0012030C" w:rsidRPr="001203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030C" w:rsidRPr="0012030C" w:rsidRDefault="0012030C" w:rsidP="00120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30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DATA DE REGISTRO NO MTE: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12030C" w:rsidRPr="0012030C" w:rsidRDefault="0012030C" w:rsidP="00120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30C" w:rsidRPr="0012030C" w:rsidRDefault="0012030C" w:rsidP="00120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30C">
                    <w:rPr>
                      <w:rFonts w:ascii="Arial" w:eastAsia="Times New Roman" w:hAnsi="Arial" w:cs="Arial"/>
                      <w:sz w:val="21"/>
                      <w:szCs w:val="21"/>
                    </w:rPr>
                    <w:t>21/10/2014</w:t>
                  </w:r>
                </w:p>
              </w:tc>
            </w:tr>
            <w:tr w:rsidR="0012030C" w:rsidRPr="001203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030C" w:rsidRPr="0012030C" w:rsidRDefault="0012030C" w:rsidP="00120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30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NÚMERO DA SOLICITAÇÃO: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12030C" w:rsidRPr="0012030C" w:rsidRDefault="0012030C" w:rsidP="00120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30C" w:rsidRPr="0012030C" w:rsidRDefault="0012030C" w:rsidP="00120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30C">
                    <w:rPr>
                      <w:rFonts w:ascii="Arial" w:eastAsia="Times New Roman" w:hAnsi="Arial" w:cs="Arial"/>
                      <w:sz w:val="21"/>
                      <w:szCs w:val="21"/>
                    </w:rPr>
                    <w:t>MR065550/2014</w:t>
                  </w:r>
                </w:p>
              </w:tc>
            </w:tr>
            <w:tr w:rsidR="0012030C" w:rsidRPr="001203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030C" w:rsidRPr="0012030C" w:rsidRDefault="0012030C" w:rsidP="00120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30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NÚMERO DO PROCESSO: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12030C" w:rsidRPr="0012030C" w:rsidRDefault="0012030C" w:rsidP="00120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30C" w:rsidRPr="0012030C" w:rsidRDefault="0012030C" w:rsidP="00120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30C">
                    <w:rPr>
                      <w:rFonts w:ascii="Arial" w:eastAsia="Times New Roman" w:hAnsi="Arial" w:cs="Arial"/>
                      <w:sz w:val="21"/>
                      <w:szCs w:val="21"/>
                    </w:rPr>
                    <w:t>46220.006733/2014-78</w:t>
                  </w:r>
                </w:p>
              </w:tc>
            </w:tr>
            <w:tr w:rsidR="0012030C" w:rsidRPr="001203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030C" w:rsidRPr="0012030C" w:rsidRDefault="0012030C" w:rsidP="00120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30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DATA DO PROTOCOLO: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12030C" w:rsidRPr="0012030C" w:rsidRDefault="0012030C" w:rsidP="00120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30C" w:rsidRPr="0012030C" w:rsidRDefault="0012030C" w:rsidP="00120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30C">
                    <w:rPr>
                      <w:rFonts w:ascii="Arial" w:eastAsia="Times New Roman" w:hAnsi="Arial" w:cs="Arial"/>
                      <w:sz w:val="21"/>
                      <w:szCs w:val="21"/>
                    </w:rPr>
                    <w:t>20/10/2014</w:t>
                  </w:r>
                </w:p>
              </w:tc>
            </w:tr>
          </w:tbl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Confira a autenticidade no endereço http://www3.mte.gov.br/sistemas/mediador/.</w:t>
            </w:r>
          </w:p>
        </w:tc>
      </w:tr>
      <w:tr w:rsidR="0012030C" w:rsidRPr="0012030C" w:rsidTr="0012030C">
        <w:trPr>
          <w:tblCellSpacing w:w="0" w:type="dxa"/>
        </w:trPr>
        <w:tc>
          <w:tcPr>
            <w:tcW w:w="0" w:type="auto"/>
            <w:vAlign w:val="center"/>
            <w:hideMark/>
          </w:tcPr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SINDICATO DOS TRABALHADORES NA </w:t>
            </w:r>
            <w:proofErr w:type="gramStart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>INDUSTRIA</w:t>
            </w:r>
            <w:proofErr w:type="gramEnd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 CINEMATOGRAFICA E DO AUDIOVISUAL DO ESTADO DE SANTA CATARINA , CNPJ n. 10.398.969/0001-16, neste ato representado(a) por seu Presidente, Sr(a). ANA MARIA MERTINS DA FONTE;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  <w:t>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  <w:t>E</w:t>
            </w:r>
            <w:r w:rsidRPr="0012030C">
              <w:rPr>
                <w:rFonts w:ascii="Arial" w:eastAsia="Times New Roman" w:hAnsi="Arial" w:cs="Arial"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  <w:t xml:space="preserve">SINDICATO DA </w:t>
            </w:r>
            <w:proofErr w:type="gramStart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>INDUSTRIA</w:t>
            </w:r>
            <w:proofErr w:type="gramEnd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 AUDIOVISUAL DO ESTADO DE SANTA CATARINA , CNPJ n. 07.067.609/0001-27, neste ato representado(a) por seu Presidente, Sr(a). RALF CABRAL TAMBKE;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  <w:t>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  <w:t>celebram a presente CONVENÇÃO COLETIVA DE TRABALHO, estipulando as condições de trabalho previstas nas cláusulas seguintes:</w:t>
            </w:r>
            <w:r w:rsidRPr="0012030C">
              <w:rPr>
                <w:rFonts w:ascii="Arial" w:eastAsia="Times New Roman" w:hAnsi="Arial" w:cs="Arial"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CLÁUSULA PRIMEIRA - VIGÊNCIA E DATA-BASE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  <w:t>As partes fixam a vigência da presente Convenção Coletiva de Trabalho no período de 01º de maio de 2014 a 30 de abril de 2015 e a data-base da categoria em 01º de maio.</w:t>
            </w:r>
            <w:r w:rsidRPr="0012030C">
              <w:rPr>
                <w:rFonts w:ascii="Arial" w:eastAsia="Times New Roman" w:hAnsi="Arial" w:cs="Arial"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CLÁUSULA SEGUNDA - ABRANGÊNCIA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  <w:t>A presente Convenção Coletiva de Trabalho abrangerá a(s) categoria(s)</w:t>
            </w:r>
            <w:r w:rsidRPr="0012030C">
              <w:rPr>
                <w:rFonts w:ascii="Arial" w:eastAsia="Times New Roman" w:hAnsi="Arial" w:cs="Arial"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dos trabalhadores na Indústria Cinematográfica e do Audiovisual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, com abrangência territorial em</w:t>
            </w:r>
            <w:r w:rsidRPr="0012030C">
              <w:rPr>
                <w:rFonts w:ascii="Arial" w:eastAsia="Times New Roman" w:hAnsi="Arial" w:cs="Arial"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SC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Salários, Reajustes e Pagamento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Piso Salarial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TERCEIRA - PISO SALARIAL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Para os empregados abrangidos por esta Convenção Coletiva, consoante Cláusula Primeira, resta </w:t>
            </w:r>
            <w:proofErr w:type="gramStart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>acordado</w:t>
            </w:r>
            <w:proofErr w:type="gramEnd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 um piso salarial de R$ 912,00 (novecentos e doze reais) ou, R$4,15 (quatro reais e quinze centavos) por hora, utilizando-se o divisor de 220 (duzentos e vinte) horas mensais, válido a partir de 01 de maio de 2014.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Reajustes/Correções Salariais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QUARTA - REAJUSTE SALARIAL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A partir de 01/05/2014, os salários dos empregados com contrato de trabalho firmado por prazo indeterminados e abrangidos pela presente Convenção Coletiva de Trabalho, serão reajustados de acordo com as condições abaixo: 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Parágrafo 1º</w:t>
            </w:r>
            <w:r w:rsidRPr="0012030C">
              <w:rPr>
                <w:rFonts w:ascii="Arial" w:eastAsia="Times New Roman" w:hAnsi="Arial" w:cs="Arial"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- Sobre os salários nominais, vigentes no mês de abril de 2013, aplicar-se-á um reajuste de 8% (oito por cento), como resultado da livre negociação para recomposição salarial do período anterior a vigência da presente convenção.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Parágrafo 2º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- No reajuste mencionado no parágrafo 1º serão compensadas as antecipações salariais concedidas após 01 de maio de 2014.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Parágrafo 3º</w:t>
            </w:r>
            <w:r w:rsidRPr="0012030C">
              <w:rPr>
                <w:rFonts w:ascii="Arial" w:eastAsia="Times New Roman" w:hAnsi="Arial" w:cs="Arial"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- O reajuste salarial estipulado no Parágrafo 1º acima será pago na folha de pagamento do mês de maio de 2014, sem qualquer correção, sob a rubrica "DIFERENÇA SALARIAL DE CONVENÇÃO COLETIVA 2014" ou devidamente corrigido, nas folhas subseqüentes, contados da data da homologação desta convenção.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Parágrafo 4º</w:t>
            </w:r>
            <w:r w:rsidRPr="0012030C">
              <w:rPr>
                <w:rFonts w:ascii="Arial" w:eastAsia="Times New Roman" w:hAnsi="Arial" w:cs="Arial"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- O percentual de reajuste estipulado no parágrafo primeiro compõe-se da reposição da inflação do período de maio de 2013 a abril de 2014, na </w:t>
            </w:r>
            <w:proofErr w:type="gramStart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>ordem de R$5,82% (cinco vírgula oitenta e dois por cento), acrescido de 1% (um por cento) não incluído na convenção coletiva de 2013/2014, além de 1.18% (um vírgula dezoito por cento) de ganho real</w:t>
            </w:r>
            <w:proofErr w:type="gramEnd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proofErr w:type="gramStart"/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CLÁUSULA QUINTA - ADMITIDOS</w:t>
            </w:r>
            <w:proofErr w:type="gramEnd"/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APOS A DATA-BASE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Aos empregados admitidos após 1º de maio de 2013, que possuam paradigma na empresa, passarão a perceber, a partir de 1º de maio de 2014, o mesmo salário que estiver recebendo seu paradigma, nos termos do artigo 461 da CLT. 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Pagamento de Salário – Formas e Prazos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SEXTA - COMPROVANTE DE PAGAMENTO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Será obrigatório o fornecimento do comprovante de pagamento, com discriminação das importâncias pagas e dos descontos efetuados.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CLÁUSULA SÉTIMA - PAGAMENTO COM CHEQUE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Quando o pagamento for efetuado mediante cheque com exclusão do cheque salário, as empresas estabelecerão condições para que os empregados possam descontar o cheque ou ir ao banco no mesmo dia que for efetuado o pagamento, sem que seja prejudicado seu horário de refeição ou compensado este horário.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Outras normas referentes a salários, reajustes, pagamentos e critérios para cálculo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OITAVA - FESTIVAIS – PREMIAÇÃO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As empresas produtoras de obras audiovisuais publicitárias, quando realizarem obras destinadas a Festivais, e após a participação no Festival, </w:t>
            </w:r>
            <w:proofErr w:type="gramStart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>procederem</w:t>
            </w:r>
            <w:proofErr w:type="gramEnd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 veiculação comercial do filme, obrigatoriamente, deverão efetivar o pagamento da remuneração mínima para cada função empregada na produção da obra.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NONA - DIREITO SOBRE REVEICULAÇÃO OU REUTILIZAÇÃO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Conforme legislação em vigor, as empresas produtoras deverão obrigatoriamente constar como anexo ao Termo Contratual as hipóteses e os direitos sobre </w:t>
            </w:r>
            <w:proofErr w:type="spellStart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>reveiculação</w:t>
            </w:r>
            <w:proofErr w:type="spellEnd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 ou reutilização, bem como o valor a ser pago aos profissionais contratados.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DÉCIMA - FOTOGRAFIA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No caso da produção de peças publicitárias, a exemplo de peças gráficas, utilizando a estrutura e local durante e/ou resultante da produção audiovisual, será acrescido 50% (cinqüenta por cento) na remuneração para todos os técnicos profissionais contratados na produção audiovisual em questão.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Parágrafo único: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Não se aplicará o acréscimo da remuneração somente nos casos previstos em contrato.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Gratificações, Adicionais, Auxílios e Outros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Adicional Noturno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DÉCIMA PRIMEIRA - ADICIONAL NOTURNO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O empregado que exercer sua atividade profissional, inclusive na realização de filmagens, no período compreendido entre 22h00 do primeiro dia até as 05h00 do dia </w:t>
            </w:r>
            <w:proofErr w:type="spellStart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>subsequente</w:t>
            </w:r>
            <w:proofErr w:type="spellEnd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>, terá direito à remuneração acrescida em 20% (vinte por cento).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Seguro de Vida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DÉCIMA SEGUNDA - SEGURO DE VIDA E ACIDENTE DO TRABALHO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As empresas que não </w:t>
            </w:r>
            <w:proofErr w:type="gramStart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>tiverem seguro</w:t>
            </w:r>
            <w:proofErr w:type="gramEnd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 de vida para seus empregados, contratarão um seguro de vida e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>de</w:t>
            </w:r>
            <w:proofErr w:type="gramEnd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 Acidente do Trabalho para cobrir riscos de viagem em serviço e/ou unidades externas., com distância superior a 35 km (trinta e cinco quilômetros).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Parágrafo único -</w:t>
            </w:r>
            <w:r w:rsidRPr="0012030C">
              <w:rPr>
                <w:rFonts w:ascii="Arial" w:eastAsia="Times New Roman" w:hAnsi="Arial" w:cs="Arial"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Esse seguro não poderá ser inferior a R$ 55.000,00 (</w:t>
            </w:r>
            <w:proofErr w:type="spellStart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>cinquenta</w:t>
            </w:r>
            <w:proofErr w:type="spellEnd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 e cinco mil reais), ficando a empresa responsável pela indenização no mesmo valor caso ocorra sinistro e o seguro não tenha sido contratado.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DÉCIMA TERCEIRA - SEGURO DE VIDA E ACIDENTES PESSOAIS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Obriga-se a Contratante a fazer as suas expensas,</w:t>
            </w:r>
            <w:r w:rsidRPr="0012030C">
              <w:rPr>
                <w:rFonts w:ascii="Arial" w:eastAsia="Times New Roman" w:hAnsi="Arial" w:cs="Arial"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sz w:val="21"/>
                <w:szCs w:val="21"/>
                <w:u w:val="single"/>
              </w:rPr>
              <w:t xml:space="preserve">para os contratados por prazo determinado, temporários e </w:t>
            </w:r>
            <w:proofErr w:type="gramStart"/>
            <w:r w:rsidRPr="0012030C">
              <w:rPr>
                <w:rFonts w:ascii="Arial" w:eastAsia="Times New Roman" w:hAnsi="Arial" w:cs="Arial"/>
                <w:sz w:val="21"/>
                <w:szCs w:val="21"/>
                <w:u w:val="single"/>
              </w:rPr>
              <w:t>eventuais,</w:t>
            </w:r>
            <w:proofErr w:type="gramEnd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>Seguro de Vida e Acidentes Pessoais, por todo o período efetivamente trabalhado a favor do Contratado, quando este exercer atividades em distancia acima de 35km (trinta e cinco quilômetros)  da sede da empresa, garantindo uma indenização mínima de: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>a</w:t>
            </w:r>
            <w:proofErr w:type="gramEnd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>)  R$ 100.000,00 (cem mil reais)   Em caso de Morte Acidental;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>b)</w:t>
            </w:r>
            <w:proofErr w:type="gramEnd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 R$ 100.000,00 (cem mil reais)  Em caso de Invalidez Permanente por Acidente;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Parágrafo 1º</w:t>
            </w:r>
            <w:r w:rsidRPr="0012030C">
              <w:rPr>
                <w:rFonts w:ascii="Arial" w:eastAsia="Times New Roman" w:hAnsi="Arial" w:cs="Arial"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- A Contratante deverá enviar ao SINTRACINE, juntamente com a lista de profissionais contratados, declaração confirmando a assinatura do seguro para todos os 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contratados.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Parágrafo 2º</w:t>
            </w:r>
            <w:r w:rsidRPr="0012030C">
              <w:rPr>
                <w:rFonts w:ascii="Arial" w:eastAsia="Times New Roman" w:hAnsi="Arial" w:cs="Arial"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- Na referida declaração deverá constar o nome da seguradora e, obrigatoriamente, a vigência do Contrato de Seguro.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Parágrafo 3º</w:t>
            </w:r>
            <w:r w:rsidRPr="0012030C">
              <w:rPr>
                <w:rFonts w:ascii="Arial" w:eastAsia="Times New Roman" w:hAnsi="Arial" w:cs="Arial"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-  Ficam desobrigadas as empresas que já possuem seguro em grupo no valor igual ou superior ao estipulado no caput desta Cláusula.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Contrato de Trabalho – Admissão, Demissão, Modalidades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Normas para Admissão/Contratação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DÉCIMA QUARTA - CONTRATAÇÃO DE PROFISSIONAIS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É obrigatório para o exercício profissional de que trata o Decreto nº 82.385, de 05 de Outubro de 1978, que regulamentou a Lei nº 6.533, de 24 de maio de 1978, o prévio registro na Delegacia Regional do Trabalho do Ministério do Trabalho e Emprego, ficando vedada a contratação de profissionais por prazo determinado, temporário ou eventual que não possuam tal registro.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DÉCIMA QUINTA - DEPÓSITO DOS CONTRATOS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Os Contratos de Trabalho por Tempo Determinado e Eventual, bem como os Termos Contratuais e Notas Contratuais deverão ser depositados na entidade profissional para registro e arquivo.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Parágrafo 1º</w:t>
            </w:r>
            <w:r w:rsidRPr="0012030C">
              <w:rPr>
                <w:rFonts w:ascii="Arial" w:eastAsia="Times New Roman" w:hAnsi="Arial" w:cs="Arial"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- Quando da pré-produção do contrato o contratante tem que enviar os dados para o SINTRACINE elaborar os contratos.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Parágrafo 2º -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O SINTRACINE terá o prazo de cinco dias para devolver os contratos à empresa para colher </w:t>
            </w:r>
            <w:proofErr w:type="gramStart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>as</w:t>
            </w:r>
            <w:proofErr w:type="gramEnd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 assinaturas dos contratados.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Parágrafo 3º -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A empresa terá o prazo de até cinco dias após o final do contrato para entregar o contrato assinado para registro e arquivo.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Parágrafo 4º -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A taxa de Administração pactuada terá o valor de R$6,00 (seis reais) de todos os Contratados e para todos os Contratos, devendo ser pago até o décimo dia do mês subseqüente ao registro.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Parágrafo 5º -</w:t>
            </w:r>
            <w:r w:rsidRPr="0012030C">
              <w:rPr>
                <w:rFonts w:ascii="Arial" w:eastAsia="Times New Roman" w:hAnsi="Arial" w:cs="Arial"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Caso o Contratante venha a elaborar o contrato, fica isento do pagamento da taxa de administração, contudo, o contrato deverá ser entregue ao SINTRACINE no 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prazo de 72 horas após o início dos trabalhos.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Parágrafo 6º -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Mesmo no caso do parágrafo 5º o Contratante deverá remeter os dados do contrato antes de sua entrega, sob pena de multa no valor correspondente a um salário normativo, por contrato.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Outros grupos específicos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DÉCIMA SEXTA - TERMO CONTRATUAL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As empresas, quando da contratação de técnicos eventuais de que trata o Decreto nº 82.385, de 05 de Outubro de 1978, que regulamentou a Lei nº 6.533, de 24 de maio de 1978, utilizarão, obrigatoriamente Termo Contratual, definido em Anexo.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DÉCIMA SÉTIMA - MÃO DE OBRA ESTRANGEIRA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4"/>
                <w:szCs w:val="24"/>
              </w:rPr>
              <w:t>Quando da realização de filmagens, gravação, captação de imagem e/ou captação de imagem e/ou som com a contratação e utilização de mão de obra estrangeira no Brasil a empresa Contratante recolherá, ao Sindicado Profissional, a taxa que exige e trata o Decreto 82.385 de 1978, de importância relativa a 10% (dez por cento) do valor total do ajuste, em conta própria designada pelo Sindicato profissional.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Outras normas referentes </w:t>
            </w:r>
            <w:proofErr w:type="gramStart"/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</w:t>
            </w:r>
            <w:proofErr w:type="gramEnd"/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admissão, demissão e modalidades de contratação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DÉCIMA OITAVA - CARTA AVISO DE DISPENSA, SUSPENSÃO OU ADVERTÊNCIA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As empresas fornecerão comprovantes, por escrito, contendo o artigo da CLT que está sendo enquadrado, quando da rescisão contratual por justa causa e, em caso de suspensão ou advertência deverá fornecer, por escrito, os motivos de sua origem.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Relações de Trabalho – Condições de Trabalho, Normas de Pessoal e Estabilidades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br/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Estabilidade Serviço Militar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DÉCIMA NONA - ESTABILIDADE PROVISÓRIA - SERVIÇO MILITAR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Fica garantida a Estabilidade Provisória ou Pagamento Correspondente, ao empregado em idade de alistamento de serviço militar, desde a data do alistamento até 30 (trinta) dias após o desligamento.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Estabilidade Aposentadoria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VIGÉSIMA - APOSENTADORIA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Ao empregado que, comprovadamente através da apresentação de documento oficial comprobatório, estiver a um máximo de 12 (doze) meses da aquisição da aposentadoria em seus prazos mínimos, e que tenha mais de cinco anos de trabalho continuo na empresa, não ocorrendo dispensa por falta grave, ficará assegurado o emprego ou salário no período que faltar para o evento.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Parágrafo Único</w:t>
            </w:r>
            <w:r w:rsidRPr="0012030C">
              <w:rPr>
                <w:rFonts w:ascii="Arial" w:eastAsia="Times New Roman" w:hAnsi="Arial" w:cs="Arial"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- Para fazer jus ao benefício, o empregado deverá comunicar ao empregador, por escrito, nos primeiros 90 (noventa) dias após complementar o tempo de serviço necessário à obtenção do benefício, sob pena de decadência de seu direito.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Outras normas referentes a condições para o exercício do trabalho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VIGÉSIMA PRIMEIRA - ESTAGIÁRIOS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Poderão ser admitidos estagiários, de acordo com a  Lei 11.788 de 25/09/2008.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Outras normas de pessoal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VIGÉSIMA SEGUNDA - QUADRO DE AVISOS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As empresas deverão manter quadro de aviso em local acessível aos empregados, nas medidas convenientes ao local, para fixação de matéria de interesses da categoria profissional e patronal, vedada a divulgação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>de</w:t>
            </w:r>
            <w:proofErr w:type="gramEnd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 material político partidário ou ofensivo a quem quer que seja. No material informativo, deverá estar identificado o responsável por sua publicação para fins de direito.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Jornada de Trabalho – Duração, Distribuição, Controle, Faltas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Duração e Horário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VIGÉSIMA TERCEIRA - JORNADA DE TRABALHO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As horas extras diárias serão remuneradas com o adicional de 50% (</w:t>
            </w:r>
            <w:proofErr w:type="spellStart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>cinquenta</w:t>
            </w:r>
            <w:proofErr w:type="spellEnd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 por cento) de acréscimo sobre o valor da hora normal, para as duas primeiras horas extras e de 100% (cem por cento) para as demais, a partir da terceira.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Parágrafo único –</w:t>
            </w:r>
            <w:r w:rsidRPr="0012030C">
              <w:rPr>
                <w:rFonts w:ascii="Arial" w:eastAsia="Times New Roman" w:hAnsi="Arial" w:cs="Arial"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As horas extras poderão ser compensadas na forma do disposto no artigo 59, parágrafo 2º e parágrafo 3º da CLT, devendo ser comunicado ao  empregado por escrito com antecedência mínima de 72 horas.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Controle da Jornada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 xml:space="preserve">CLÁUSULA VIGÉSIMA </w:t>
            </w:r>
            <w:proofErr w:type="gramStart"/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QUARTA - REGISTROS E ANOTAÇÕES DA JORNADA DE TRABALHO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proofErr w:type="gramEnd"/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O término da jornada de trabalho em filmagens ou gravações dar-se-á na hora da dispensa do Contratado através da produção.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Jornadas Especiais (mulheres, menores, estudantes)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VIGÉSIMA QUINTA - EMPREGADO ESTUDANTE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Serão abonadas as faltas do empregado para prestação de exames ou provas, no horário de trabalho, desde que em estabelecimento de ensino oficial ou reconhecido e, quando pré-avisado, por escrito, o empregador com no mínimo de 48 (quarenta e oito) horas.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Férias e Licenças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Licença Remunerada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VIGÉSIMA SEXTA - LICENÇA – CASAMENTO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As empresas concederão a todos os empregados que contraírem matrimônio, licença remunerada de 03 (três) dias independente de período normal de férias, na forma da Lei. 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VIGÉSIMA SÉTIMA - LICENÇA REMUNERADA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4"/>
                <w:szCs w:val="24"/>
              </w:rPr>
              <w:t xml:space="preserve">Será garantida licença remunerada aos empregados, no caso de falecimento de pais, companheiros, cônjuge, filhos ou irmãos, licença essa não inferior a </w:t>
            </w:r>
            <w:proofErr w:type="gramStart"/>
            <w:r w:rsidRPr="001203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  <w:r w:rsidRPr="0012030C">
              <w:rPr>
                <w:rFonts w:ascii="Arial" w:eastAsia="Times New Roman" w:hAnsi="Arial" w:cs="Arial"/>
                <w:sz w:val="24"/>
                <w:szCs w:val="24"/>
              </w:rPr>
              <w:t xml:space="preserve"> (dois) dias.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Saúde e Segurança do Trabalhador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Condições de Ambiente de Trabalho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VIGÉSIMA OITAVA - BANHEIROS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A realização de filmagem externa deverá ter garantido acesso a sanitários em condições adequadas de uso e em quantidade compatível ao número de usuários, respeitando, quando possível for, a distinção entre masculino e feminino, </w:t>
            </w:r>
            <w:proofErr w:type="gramStart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>obedecendo o</w:t>
            </w:r>
            <w:proofErr w:type="gramEnd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 disposto na 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legislação em vigor, especialmente o contido na NR nº 24 do Ministério do Trabalho.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Equipamentos de Proteção Individual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VIGÉSIMA NONA - FORNECIMENTO DE MATERIAL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As empregadoras fornecerão, gratuitamente, aos empregados, uniformes, macacões  ou peças de vestimenta e todos os Equipamentos de Proteção Individual EPIS estabelecidos na legislação vigente, se a atividade assim o exigir.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TRIGÉSIMA - FORNECIMENTO DE MATERIAL – EPIS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As empresas fornecerão, gratuitamente, aos contratados, todos os Equipamentos de Proteção Individual – EPIS necessários ao desenvolvimento da atividade contratada e estabelecidos na legislação vigente, se a atividade assim o exigir.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Relações Sindicais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Acesso do Sindicato ao Local de Trabalho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TRIGÉSIMA PRIMEIRA - ACESSO DE DIRIGENTES SINDICAIS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4"/>
                <w:szCs w:val="24"/>
              </w:rPr>
              <w:t>O Presidente e o Vice-Presidente do Sindicato Profissional poderão ter acesso às empresas, não podendo interferir no andamento dos trabalhos. Se for o caso, os mesmos deverão apresentar relatório ao proprietário da empresa, posteriormente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Outras disposições sobre representação e organização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TRIGÉSIMA SEGUNDA - CONTRIBUIÇÃO ASSISTENCIAL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As empresas descontarão dos empregados, a título de Contribuição Assistencial, 3% (três por cento) da remuneração, em relação aos profissionais contratados por tempo indeterminado, que estiverem em atividade à época, em favor do Sindicato dos Trabalhadores.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Parágrafo 1º</w:t>
            </w:r>
            <w:r w:rsidRPr="0012030C">
              <w:rPr>
                <w:rFonts w:ascii="Arial" w:eastAsia="Times New Roman" w:hAnsi="Arial" w:cs="Arial"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- Os descontos serão efetuados em uma única parcela, quando do primeiro pagamento dos salários já reajustados, no mês subseqüente à assinatura da presente Convenção Coletiva de Trabalho.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Parágrafo 2º</w:t>
            </w:r>
            <w:r w:rsidRPr="0012030C">
              <w:rPr>
                <w:rFonts w:ascii="Arial" w:eastAsia="Times New Roman" w:hAnsi="Arial" w:cs="Arial"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- Os recolhimentos serão depositados em conta vinculada, sem limite, na conta do SINTRACINE. 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Parágrafo 3º</w:t>
            </w:r>
            <w:r w:rsidRPr="0012030C">
              <w:rPr>
                <w:rFonts w:ascii="Arial" w:eastAsia="Times New Roman" w:hAnsi="Arial" w:cs="Arial"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-  As empresas encaminharão à entidade profissional e patronal, no prazo máximo de 30 (trinta) dias após o desconto, cópias das Guias de Contribuição Assistencial, com a relação nominal dos contribuintes e seus respectivos salários. </w:t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Parágrafo 4º</w:t>
            </w:r>
            <w:r w:rsidRPr="0012030C">
              <w:rPr>
                <w:rFonts w:ascii="Arial" w:eastAsia="Times New Roman" w:hAnsi="Arial" w:cs="Arial"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- Fica expressamente </w:t>
            </w:r>
            <w:proofErr w:type="gramStart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>facultado</w:t>
            </w:r>
            <w:proofErr w:type="gramEnd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 aos empregados a ação de oposição ao desconto estabelecido nesta Convenção Coletiva, oposição esta que deve ser feita através de termo escrito a ser enviado ao Sindicato, em até 20 dias úteis contados da data de assinatura e publicidade desta Convenção Coletiva.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Disposições Gerais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Descumprimento do Instrumento Coletivo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TRIGÉSIMA TERCEIRA - MULTA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As partes que comprovadamente infringirem quaisquer das Cláusulas ora pactuadas será cobrada multa de R$ 16,00 (dezesseis reais), por infração e por empregado, revertendo tal valor em benefício da parte prejudicada, desde que, notificada, a Parte inadimplente não regularize a infração dentro de um prazo máximo de 10 (dez) dias.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Outras Disposições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TRIGÉSIMA QUARTA - PRORROGAÇÃO, REVISÃO, DENÚNCIA OU REVOGAÇÃO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O processo de prorrogação, revisão, denúncia ou revogação total ou parcial da presente Convenção Coletiva ficará subordinado às normas estabelecidas pelo art. 615 da </w:t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Consolidação das Leis do Trabalho.</w:t>
            </w:r>
          </w:p>
          <w:p w:rsidR="0012030C" w:rsidRPr="0012030C" w:rsidRDefault="0012030C" w:rsidP="001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CLÁUSULA TRIGÉSIMA QUINTA - DISPOSIÇOES GERAIS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12030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12030C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12030C" w:rsidRPr="0012030C" w:rsidRDefault="0012030C" w:rsidP="00120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Acordam as partes que as condições de trabalho alcançadas nessa Convenção Coletiva de Trabalho vigoram somente no prazo assinado, não integrado de forma definitiva aos contratos. Assim, por estarem justos e acertados, e para que produza os seus jurídicos e legais efeitos, assinam as partes convenentes a presente CONVENÇÃO COLETIVA DE TRABALHO, em </w:t>
            </w:r>
            <w:proofErr w:type="gramStart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>5</w:t>
            </w:r>
            <w:proofErr w:type="gramEnd"/>
            <w:r w:rsidRPr="0012030C">
              <w:rPr>
                <w:rFonts w:ascii="Arial" w:eastAsia="Times New Roman" w:hAnsi="Arial" w:cs="Arial"/>
                <w:sz w:val="21"/>
                <w:szCs w:val="21"/>
              </w:rPr>
              <w:t xml:space="preserve"> (cinco) vias,  que levarão à registro junto à Delegacia Regional do Trabalho, do Ministério do Trabalho, nos termos do artigo 614 da CLT.</w:t>
            </w:r>
          </w:p>
          <w:p w:rsidR="0012030C" w:rsidRPr="0012030C" w:rsidRDefault="0012030C" w:rsidP="001203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0C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12030C" w:rsidRPr="001203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2030C" w:rsidRPr="0012030C" w:rsidRDefault="0012030C" w:rsidP="00120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20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ANA MARIA MERTINS DA FONTE </w:t>
                  </w:r>
                  <w:r w:rsidRPr="00120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Presidente </w:t>
                  </w:r>
                  <w:r w:rsidRPr="00120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SINDICATO DOS TRABALHADORES NA </w:t>
                  </w:r>
                  <w:proofErr w:type="gramStart"/>
                  <w:r w:rsidRPr="00120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INDUSTRIA</w:t>
                  </w:r>
                  <w:proofErr w:type="gramEnd"/>
                  <w:r w:rsidRPr="00120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CINEMATOGRAFICA E DO AUDIOVISUAL DO ESTADO DE SANTA CATARINA </w:t>
                  </w:r>
                  <w:r w:rsidRPr="00120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20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20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20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RALF CABRAL TAMBKE </w:t>
                  </w:r>
                  <w:r w:rsidRPr="00120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Presidente </w:t>
                  </w:r>
                  <w:r w:rsidRPr="00120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SINDICATO DA INDUSTRIA AUDIOVISUAL DO ESTADO DE SANTA CATARINA </w:t>
                  </w:r>
                  <w:r w:rsidRPr="00120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20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20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12030C" w:rsidRPr="0012030C" w:rsidRDefault="0012030C" w:rsidP="001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40D0" w:rsidRDefault="009440D0"/>
    <w:sectPr w:rsidR="00944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>
    <w:useFELayout/>
  </w:compat>
  <w:rsids>
    <w:rsidRoot w:val="0012030C"/>
    <w:rsid w:val="0012030C"/>
    <w:rsid w:val="0094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2030C"/>
  </w:style>
  <w:style w:type="character" w:styleId="Forte">
    <w:name w:val="Strong"/>
    <w:basedOn w:val="Fontepargpadro"/>
    <w:uiPriority w:val="22"/>
    <w:qFormat/>
    <w:rsid w:val="001203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2739</Words>
  <Characters>14791</Characters>
  <Application>Microsoft Office Word</Application>
  <DocSecurity>0</DocSecurity>
  <Lines>123</Lines>
  <Paragraphs>34</Paragraphs>
  <ScaleCrop>false</ScaleCrop>
  <Company/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Sintracine</dc:creator>
  <cp:keywords/>
  <dc:description/>
  <cp:lastModifiedBy>Sintracine</cp:lastModifiedBy>
  <cp:revision>2</cp:revision>
  <dcterms:created xsi:type="dcterms:W3CDTF">2015-01-23T14:44:00Z</dcterms:created>
  <dcterms:modified xsi:type="dcterms:W3CDTF">2015-01-23T14:44:00Z</dcterms:modified>
</cp:coreProperties>
</file>